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left"/>
      </w:pPr>
      <w:r>
        <w:rPr>
          <w:rFonts w:ascii="Times New Roman" w:hAnsi="Times New Roman" w:eastAsia="仿宋" w:cs="Times New Roman" w:hint="eastAsia"/>
          <w:sz w:val="24"/>
        </w:rPr>
        <w:t>附件3</w:t>
      </w:r>
    </w:p>
    <w:p>
      <w:pPr>
        <w:spacing w:before="0" w:after="120" w:line="360" w:lineRule="auto"/>
        <w:jc w:val="center"/>
      </w:pPr>
      <w:r>
        <w:rPr>
          <w:rFonts w:ascii="Times New Roman" w:hAnsi="Times New Roman" w:eastAsia="黑体" w:cs="Times New Roman" w:hint="eastAsia"/>
          <w:b/>
          <w:sz w:val="36"/>
        </w:rPr>
        <w:t>第八届中国石油大学（华东）物理学学术竞赛</w:t>
      </w:r>
    </w:p>
    <w:p>
      <w:pPr>
        <w:spacing w:before="0" w:after="240" w:line="360" w:lineRule="auto"/>
        <w:jc w:val="center"/>
      </w:pPr>
      <w:r>
        <w:rPr>
          <w:rFonts w:ascii="Times New Roman" w:hAnsi="Times New Roman" w:eastAsia="楷体" w:cs="Times New Roman" w:hint="eastAsia"/>
          <w:b/>
          <w:sz w:val="30"/>
        </w:rPr>
        <w:t>复赛阶段（2026年12月）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复赛按照正式CUPT比赛流程进行。本项竞赛以普通话为工作语言，以抽签分组、团队辩论的方式进行。赛前通过抽签分组，每支队伍参加一轮对抗赛，每轮对抗赛由四支队伍参加。</w:t>
      </w:r>
    </w:p>
    <w:p>
      <w:pPr>
        <w:spacing w:before="240" w:after="120" w:line="360" w:lineRule="auto"/>
        <w:ind w:firstLineChars="200" w:firstLine="480"/>
        <w:jc w:val="both"/>
      </w:pPr>
      <w:r>
        <w:rPr>
          <w:rFonts w:ascii="Times New Roman" w:hAnsi="Times New Roman" w:eastAsia="黑体" w:cs="Times New Roman" w:hint="eastAsia"/>
          <w:b/>
          <w:sz w:val="28"/>
        </w:rPr>
        <w:t>一、比赛形式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每一轮对抗赛分为四个阶段，四支参赛队分别扮演正方、反方、评论方和观摩方四种角色，进行四个阶段的比赛。每一轮对抗赛中角色的转换顺序如表1所示。</w:t>
      </w:r>
    </w:p>
    <w:p>
      <w:pPr>
        <w:spacing w:before="60" w:after="60" w:line="280" w:lineRule="auto"/>
        <w:jc w:val="center"/>
      </w:pPr>
      <w:r>
        <w:rPr>
          <w:rFonts w:ascii="Times New Roman" w:hAnsi="Times New Roman" w:eastAsia="宋体" w:cs="Times New Roman" w:hint="eastAsia"/>
          <w:b w:val="0"/>
          <w:sz w:val="21"/>
        </w:rPr>
        <w:t>表1  复赛对抗赛角色转换顺序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bottom w:val="single" w:sz="12" w:space="0" w:color="000000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69"/>
        <w:gridCol w:w="1769"/>
        <w:gridCol w:w="1769"/>
        <w:gridCol w:w="1769"/>
        <w:gridCol w:w="1769"/>
      </w:tblGrid>
      <w:tr>
        <w:tc>
          <w:tcPr>
            <w:tcW w:type="dxa" w:w="1701"/>
            <w:tcBorders>
              <w:bottom w:val="single" w:sz="6" w:space="0" w:color="000000"/>
            </w:tcBorders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/>
                <w:sz w:val="21"/>
              </w:rPr>
              <w:t>队伍编号</w:t>
            </w:r>
          </w:p>
        </w:tc>
        <w:tc>
          <w:tcPr>
            <w:tcW w:type="dxa" w:w="1757"/>
            <w:tcBorders>
              <w:bottom w:val="single" w:sz="6" w:space="0" w:color="000000"/>
            </w:tcBorders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/>
                <w:sz w:val="21"/>
              </w:rPr>
              <w:t>队1</w:t>
            </w:r>
          </w:p>
        </w:tc>
        <w:tc>
          <w:tcPr>
            <w:tcW w:type="dxa" w:w="1757"/>
            <w:tcBorders>
              <w:bottom w:val="single" w:sz="6" w:space="0" w:color="000000"/>
            </w:tcBorders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/>
                <w:sz w:val="21"/>
              </w:rPr>
              <w:t>队2</w:t>
            </w:r>
          </w:p>
        </w:tc>
        <w:tc>
          <w:tcPr>
            <w:tcW w:type="dxa" w:w="1757"/>
            <w:tcBorders>
              <w:bottom w:val="single" w:sz="6" w:space="0" w:color="000000"/>
            </w:tcBorders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/>
                <w:sz w:val="21"/>
              </w:rPr>
              <w:t>队3</w:t>
            </w:r>
          </w:p>
        </w:tc>
        <w:tc>
          <w:tcPr>
            <w:tcW w:type="dxa" w:w="1757"/>
            <w:tcBorders>
              <w:bottom w:val="single" w:sz="6" w:space="0" w:color="000000"/>
            </w:tcBorders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/>
                <w:sz w:val="21"/>
              </w:rPr>
              <w:t>队4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1阶段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Rep(正)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Opp(反)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Rev(评)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Obs(观)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2阶段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Obs(观)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Rep(正)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Opp(反)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Rev(评)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3阶段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Rev(评)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Obs(观)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Rep(正)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Opp(反)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4阶段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Opp(反)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Rev(评)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Obs(观)</w:t>
            </w:r>
          </w:p>
        </w:tc>
        <w:tc>
          <w:tcPr>
            <w:tcW w:type="dxa" w:w="1757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Rep(正)</w:t>
            </w:r>
          </w:p>
        </w:tc>
      </w:tr>
    </w:tbl>
    <w:p>
      <w:pPr>
        <w:spacing w:before="240" w:after="120" w:line="360" w:lineRule="auto"/>
        <w:ind w:firstLineChars="200" w:firstLine="480"/>
        <w:jc w:val="both"/>
      </w:pPr>
      <w:r>
        <w:rPr>
          <w:rFonts w:ascii="Times New Roman" w:hAnsi="Times New Roman" w:eastAsia="黑体" w:cs="Times New Roman" w:hint="eastAsia"/>
          <w:b/>
          <w:sz w:val="28"/>
        </w:rPr>
        <w:t>二、角色分工与陈述要求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（一）正方就某一问题做陈述时，要求重点突出，包括实验设计、实验结果、理论分析以及讨论和结论等。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（二）反方就正方陈述中的弱点或者谬误提出质疑，总结正方报告的优点与缺点。但是，反方的讨论过程不得包括自己对问题的解答，只能就正方的解答展开讨论。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（三）评论方对正反双方的陈述给出简短评述。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（四）观摩方不发表意见，不计时、不计分。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五）在每一阶段的比赛中，每支队伍只能由一人主控发言，其他队员只能做协助工作，可以和主控队员交流，但不能替代主控队员进行陈述。在同一轮对抗赛中，每个队员最多只能作为主控队员出场两次；在一支队伍的全部比赛中，每个队员担任正方主控的次数不能超过三次。</w:t>
      </w:r>
    </w:p>
    <w:p>
      <w:pPr>
        <w:spacing w:before="240" w:after="120" w:line="360" w:lineRule="auto"/>
        <w:ind w:firstLineChars="200" w:firstLine="480"/>
        <w:jc w:val="both"/>
      </w:pPr>
      <w:r>
        <w:rPr>
          <w:rFonts w:ascii="Times New Roman" w:hAnsi="Times New Roman" w:eastAsia="黑体" w:cs="Times New Roman" w:hint="eastAsia"/>
          <w:b/>
          <w:sz w:val="28"/>
        </w:rPr>
        <w:t>三、赛程安排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每一阶段比赛限时45分钟，具体流程如表2所示。</w:t>
      </w:r>
    </w:p>
    <w:p>
      <w:pPr>
        <w:spacing w:before="60" w:after="60" w:line="280" w:lineRule="auto"/>
        <w:jc w:val="center"/>
      </w:pPr>
      <w:r>
        <w:rPr>
          <w:rFonts w:ascii="Times New Roman" w:hAnsi="Times New Roman" w:eastAsia="宋体" w:cs="Times New Roman" w:hint="eastAsia"/>
          <w:b w:val="0"/>
          <w:sz w:val="21"/>
        </w:rPr>
        <w:t>表2  对抗赛单阶段流程与限时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12" w:space="0" w:color="000000"/>
          <w:bottom w:val="single" w:sz="12" w:space="0" w:color="000000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422"/>
        <w:gridCol w:w="4422"/>
      </w:tblGrid>
      <w:tr>
        <w:tc>
          <w:tcPr>
            <w:tcW w:type="dxa" w:w="6576"/>
            <w:tcBorders>
              <w:bottom w:val="single" w:sz="6" w:space="0" w:color="000000"/>
            </w:tcBorders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/>
                <w:sz w:val="21"/>
              </w:rPr>
              <w:t>流程</w:t>
            </w:r>
          </w:p>
        </w:tc>
        <w:tc>
          <w:tcPr>
            <w:tcW w:type="dxa" w:w="2154"/>
            <w:tcBorders>
              <w:bottom w:val="single" w:sz="6" w:space="0" w:color="000000"/>
            </w:tcBorders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/>
                <w:sz w:val="21"/>
              </w:rPr>
              <w:t>限时（分钟）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反方向正方挑战竞赛题目（正方当场决定接受或拒绝）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1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正方准备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1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正方进行所选题的报告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12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反方向正方提问，正方回答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2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反方准备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2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反方的报告（最多3分钟），正反方讨论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13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评论方提问，正、反方回答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3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评论方准备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2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评论方报告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4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正方总结发言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1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打分，裁判点评与讨论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4</w:t>
            </w:r>
          </w:p>
        </w:tc>
      </w:tr>
      <w:tr>
        <w:tc>
          <w:tcPr>
            <w:tcW w:type="dxa" w:w="6576"/>
            <w:vAlign w:val="center"/>
          </w:tcPr>
          <w:p>
            <w:pPr>
              <w:spacing w:before="30" w:after="30" w:line="240" w:lineRule="auto"/>
              <w:jc w:val="left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总计</w:t>
            </w:r>
          </w:p>
        </w:tc>
        <w:tc>
          <w:tcPr>
            <w:tcW w:type="dxa" w:w="2154"/>
            <w:vAlign w:val="center"/>
          </w:tcPr>
          <w:p>
            <w:pPr>
              <w:spacing w:before="30" w:after="30" w:line="240" w:lineRule="auto"/>
              <w:jc w:val="center"/>
            </w:pPr>
            <w:r/>
            <w:r>
              <w:rPr>
                <w:rFonts w:ascii="Times New Roman" w:hAnsi="Times New Roman" w:eastAsia="宋体" w:cs="Times New Roman" w:hint="eastAsia"/>
                <w:b w:val="0"/>
                <w:sz w:val="21"/>
              </w:rPr>
              <w:t>45</w:t>
            </w:r>
          </w:p>
        </w:tc>
      </w:tr>
    </w:tbl>
    <w:p>
      <w:pPr>
        <w:spacing w:before="240" w:after="120" w:line="360" w:lineRule="auto"/>
        <w:ind w:firstLineChars="200" w:firstLine="480"/>
        <w:jc w:val="both"/>
      </w:pPr>
      <w:r>
        <w:rPr>
          <w:rFonts w:ascii="Times New Roman" w:hAnsi="Times New Roman" w:eastAsia="黑体" w:cs="Times New Roman" w:hint="eastAsia"/>
          <w:b/>
          <w:sz w:val="28"/>
        </w:rPr>
        <w:t>四、评分标准与成绩计算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（一）复赛重点关注团队配合和临场表现。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（二）对于正方，评委将重点关注参赛队伍对于题目的理解深度、讲解内容的接受度以及实验的完整性、报告的美观性等诸多方面。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（三）对于反方，评委将重点关注反方队伍对于正方队伍讲解内容的存疑处，是否能够结合物理知识进行合理的讨论，重点关注正反方讨论问题的深度和合理性。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（四）对于评论方，评委将重点关注评论方队伍对双方讨论内容总结的完整性。三方的表达能力也将作为重点得分的方面。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五）在一轮对抗赛中，每一阶段赛过后，每位裁判就各队承担的角色表现打分，分数为1至10分的整数分数，裁判组的平均分数作为该阶段赛的成绩（角色成绩）。计算参赛队的一轮比赛成绩时，不同角色的加权系数不同：正方×3.0；反方×2.0；评论方×1.0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宋体" w:cs="Times New Roman" w:hint="eastAsia"/>
          <w:b w:val="0"/>
          <w:sz w:val="24"/>
        </w:rPr>
        <w:t>（六）各参赛队在一轮对抗赛中的成绩为各阶段赛成绩的加权总和，并把结果四舍五入保留2位小数。观摩方不参与本轮成绩计算。</w:t>
      </w:r>
    </w:p>
    <w:p>
      <w:pPr>
        <w:spacing w:before="0" w:after="0" w:line="360" w:lineRule="auto"/>
        <w:ind w:firstLineChars="200" w:firstLine="480"/>
        <w:jc w:val="both"/>
      </w:pPr>
      <w:r>
        <w:rPr>
          <w:rFonts w:ascii="Times New Roman" w:hAnsi="Times New Roman" w:eastAsia="楷体" w:cs="Times New Roman" w:hint="eastAsia"/>
          <w:b w:val="0"/>
          <w:sz w:val="21"/>
        </w:rPr>
        <w:t>注：分数计算方法：分数总和/裁判数。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74" w:bottom="1440" w:left="1587" w:header="850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  <w:jc w:val="center"/>
    </w:pPr>
    <w:r>
      <w:rPr>
        <w:rFonts w:ascii="Times New Roman" w:hAnsi="Times New Roman" w:eastAsia="宋体" w:hint="eastAsia"/>
        <w:sz w:val="28"/>
        <w:szCs w:val="28"/>
      </w:rPr>
      <w:t xml:space="preserve">— </w:t>
    </w:r>
    <w:r>
      <w:rPr>
        <w:rFonts w:ascii="Times New Roman" w:hAnsi="Times New Roman" w:eastAsia="宋体" w:hint="eastAsia"/>
        <w:sz w:val="28"/>
        <w:szCs w:val="28"/>
      </w:rPr>
      <w:fldChar w:fldCharType="begin"/>
    </w:r>
    <w:r>
      <w:rPr>
        <w:rFonts w:ascii="Times New Roman" w:hAnsi="Times New Roman" w:eastAsia="宋体" w:hint="eastAsia"/>
        <w:sz w:val="28"/>
        <w:szCs w:val="28"/>
      </w:rPr>
      <w:instrText xml:space="preserve"> PAGE </w:instrText>
    </w:r>
    <w:r>
      <w:rPr>
        <w:rFonts w:ascii="Times New Roman" w:hAnsi="Times New Roman" w:eastAsia="宋体" w:hint="eastAsia"/>
        <w:sz w:val="28"/>
        <w:szCs w:val="28"/>
      </w:rPr>
      <w:fldChar w:fldCharType="separate"/>
    </w:r>
    <w:r>
      <w:rPr>
        <w:rFonts w:ascii="Times New Roman" w:hAnsi="Times New Roman" w:eastAsia="宋体" w:hint="eastAsia"/>
        <w:sz w:val="28"/>
        <w:szCs w:val="28"/>
      </w:rPr>
      <w:t>1</w:t>
    </w:r>
    <w:r>
      <w:rPr>
        <w:rFonts w:ascii="Times New Roman" w:hAnsi="Times New Roman" w:eastAsia="宋体" w:hint="eastAsia"/>
        <w:sz w:val="28"/>
        <w:szCs w:val="28"/>
      </w:rPr>
      <w:fldChar w:fldCharType="end"/>
    </w:r>
    <w:r>
      <w:rPr>
        <w:rFonts w:ascii="Times New Roman" w:hAnsi="Times New Roman" w:eastAsia="宋体" w:hint="eastAsia"/>
        <w:sz w:val="28"/>
        <w:szCs w:val="2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right" w:pos="8789"/>
      </w:tabs>
      <w:spacing w:before="0" w:after="0" w:line="240" w:lineRule="auto"/>
      <w:jc w:val="left"/>
      <w:pBdr>
        <w:bottom w:val="single" w:sz="6" w:space="1" w:color="000000"/>
      </w:pBdr>
    </w:pPr>
    <w:r>
      <w:drawing>
        <wp:inline xmlns:a="http://schemas.openxmlformats.org/drawingml/2006/main" xmlns:pic="http://schemas.openxmlformats.org/drawingml/2006/picture">
          <wp:extent cx="684000" cy="27501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pt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27501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imes New Roman" w:hAnsi="Times New Roman" w:eastAsia="宋体" w:cs="Times New Roman" w:hint="eastAsia"/>
        <w:sz w:val="18"/>
      </w:rPr>
      <w:tab/>
      <w:t>第八届中国石油大学（华东）物理学学术竞赛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Times New Roman" w:hAnsi="Times New Roman" w:eastAsia="宋体" w:cs="Times New Roman"/>
        <w:sz w:val="24"/>
        <w:szCs w:val="24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